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AB13DA" w:rsidRPr="00AB13DA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raccolta incassi, trasporto valori e conta materiale prelevato, interventi tecnici sulle casseforti e sulle casse automatiche</w:t>
      </w:r>
      <w:bookmarkStart w:id="0" w:name="_GoBack"/>
      <w:bookmarkEnd w:id="0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F72D74" w:rsidRPr="00F72D74">
        <w:rPr>
          <w:rFonts w:ascii="Times New Roman" w:hAnsi="Times New Roman"/>
          <w:lang w:eastAsia="it-IT"/>
        </w:rPr>
        <w:t>69224889CE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50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 del comma 2 dell’art. 50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e)  del comma 2 dell’art. 50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50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50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B13DA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B759E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13DA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E20D13"/>
    <w:rsid w:val="00E53F6F"/>
    <w:rsid w:val="00E848FB"/>
    <w:rsid w:val="00F02CEB"/>
    <w:rsid w:val="00F061F7"/>
    <w:rsid w:val="00F21165"/>
    <w:rsid w:val="00F70E84"/>
    <w:rsid w:val="00F72D7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7</cp:revision>
  <dcterms:created xsi:type="dcterms:W3CDTF">2016-10-17T09:40:00Z</dcterms:created>
  <dcterms:modified xsi:type="dcterms:W3CDTF">2017-01-05T07:44:00Z</dcterms:modified>
</cp:coreProperties>
</file>