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 w:rsidRPr="0009671D">
              <w:rPr>
                <w:b/>
                <w:i/>
                <w:caps/>
                <w:snapToGrid w:val="0"/>
              </w:rPr>
              <w:t>Servizio di lavanolo indumenti ad alta visibilità D.P.I.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:rsidR="00567F3A" w:rsidRDefault="00AB6F00" w:rsidP="005D33A2">
            <w:pPr>
              <w:pStyle w:val="Titolo3"/>
              <w:jc w:val="center"/>
              <w:rPr>
                <w:sz w:val="24"/>
              </w:rPr>
            </w:pPr>
            <w:r w:rsidRPr="00C9152E">
              <w:rPr>
                <w:sz w:val="24"/>
              </w:rPr>
              <w:t xml:space="preserve">CODICE C.I.G.: </w:t>
            </w:r>
            <w:r w:rsidRPr="001F4D9B">
              <w:rPr>
                <w:sz w:val="24"/>
              </w:rPr>
              <w:t>70658804A2</w:t>
            </w:r>
          </w:p>
          <w:p w:rsidR="00AB6F00" w:rsidRPr="00AB6F00" w:rsidRDefault="00AB6F00" w:rsidP="005D33A2"/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bookmarkStart w:id="0" w:name="_GoBack"/>
      <w:r w:rsidRPr="00995490">
        <w:rPr>
          <w:sz w:val="20"/>
          <w:szCs w:val="20"/>
          <w:u w:val="single"/>
        </w:rPr>
        <w:t>ai soggetti indicati</w:t>
      </w:r>
      <w:bookmarkEnd w:id="0"/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447F49"/>
    <w:rsid w:val="00567F3A"/>
    <w:rsid w:val="005D33A2"/>
    <w:rsid w:val="0087443A"/>
    <w:rsid w:val="008921BA"/>
    <w:rsid w:val="00995490"/>
    <w:rsid w:val="00A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6</cp:revision>
  <dcterms:created xsi:type="dcterms:W3CDTF">2017-05-24T07:57:00Z</dcterms:created>
  <dcterms:modified xsi:type="dcterms:W3CDTF">2017-06-19T06:58:00Z</dcterms:modified>
</cp:coreProperties>
</file>