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E53B2C">
        <w:rPr>
          <w:rFonts w:ascii="Times New Roman" w:hAnsi="Times New Roman"/>
          <w:b/>
          <w:snapToGrid w:val="0"/>
          <w:lang w:eastAsia="it-IT"/>
        </w:rPr>
        <w:t>Raggruppamenti temporanei e Consorzi ordinari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4A25EC">
        <w:rPr>
          <w:rFonts w:ascii="Times New Roman" w:hAnsi="Times New Roman"/>
          <w:b/>
          <w:i/>
          <w:caps/>
          <w:snapToGrid w:val="0"/>
          <w:lang w:eastAsia="it-IT"/>
        </w:rPr>
        <w:t>I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4A25EC" w:rsidRPr="004A25EC">
        <w:rPr>
          <w:rFonts w:ascii="Times New Roman" w:hAnsi="Times New Roman"/>
          <w:b/>
          <w:bCs/>
          <w:i/>
          <w:caps/>
          <w:snapToGrid w:val="0"/>
          <w:lang w:eastAsia="it-IT"/>
        </w:rPr>
        <w:t>LAVORI DI Manutenzione triennale generale delle pavimentazioni autostradali in tre Lotti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4B6BF6" w:rsidRDefault="00F23DF0" w:rsidP="004B6BF6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E53B2C">
        <w:rPr>
          <w:rFonts w:ascii="Times New Roman" w:hAnsi="Times New Roman"/>
          <w:color w:val="FFFFFF" w:themeColor="background1"/>
          <w:lang w:eastAsia="it-IT"/>
        </w:rPr>
        <w:t>70658804A2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90151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90151F">
        <w:rPr>
          <w:rFonts w:ascii="Times New Roman" w:hAnsi="Times New Roman"/>
          <w:sz w:val="20"/>
          <w:szCs w:val="20"/>
          <w:u w:val="single"/>
          <w:lang w:eastAsia="it-IT"/>
        </w:rPr>
        <w:t xml:space="preserve">di partecipare alla gara </w:t>
      </w:r>
      <w:r w:rsidR="0090151F" w:rsidRPr="0090151F">
        <w:rPr>
          <w:rFonts w:ascii="Times New Roman" w:hAnsi="Times New Roman"/>
          <w:sz w:val="20"/>
          <w:szCs w:val="20"/>
          <w:u w:val="single"/>
          <w:lang w:eastAsia="it-IT"/>
        </w:rPr>
        <w:t>per il</w:t>
      </w:r>
      <w:r w:rsidR="0090151F">
        <w:rPr>
          <w:rFonts w:ascii="Times New Roman" w:hAnsi="Times New Roman"/>
          <w:sz w:val="20"/>
          <w:szCs w:val="20"/>
          <w:lang w:eastAsia="it-IT"/>
        </w:rPr>
        <w:t>:</w:t>
      </w:r>
    </w:p>
    <w:p w:rsidR="0090151F" w:rsidRPr="007A4E9B" w:rsidRDefault="0090151F" w:rsidP="0090151F">
      <w:pPr>
        <w:pStyle w:val="Paragrafoelenco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1: C.I.G</w:t>
      </w:r>
      <w:r w:rsidRPr="008E7A43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.: </w:t>
      </w:r>
      <w:r w:rsidR="008E7A43" w:rsidRPr="008E7A43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72156953E2</w:t>
      </w:r>
      <w:r w:rsidR="009016CF">
        <w:rPr>
          <w:rFonts w:ascii="Times New Roman" w:hAnsi="Times New Roman"/>
          <w:bCs/>
          <w:snapToGrid w:val="0"/>
          <w:sz w:val="20"/>
          <w:szCs w:val="20"/>
          <w:lang w:eastAsia="it-IT"/>
        </w:rPr>
        <w:t xml:space="preserve">: </w:t>
      </w:r>
      <w:r w:rsidR="004F1D57" w:rsidRPr="004F1D57">
        <w:rPr>
          <w:rFonts w:ascii="Times New Roman" w:hAnsi="Times New Roman"/>
          <w:bCs/>
          <w:snapToGrid w:val="0"/>
          <w:sz w:val="20"/>
          <w:szCs w:val="20"/>
          <w:lang w:eastAsia="it-IT"/>
        </w:rPr>
        <w:t>Manutenzione triennale generale non programmabile delle pavimentazioni autostradali. Interventi in Destra Tagliamento</w:t>
      </w:r>
      <w:r w:rsidRPr="007A4E9B">
        <w:rPr>
          <w:rFonts w:ascii="Times New Roman" w:hAnsi="Times New Roman"/>
          <w:bCs/>
          <w:snapToGrid w:val="0"/>
          <w:sz w:val="20"/>
          <w:szCs w:val="20"/>
          <w:lang w:eastAsia="it-IT"/>
        </w:rPr>
        <w:t>.</w:t>
      </w:r>
    </w:p>
    <w:p w:rsidR="0090151F" w:rsidRPr="00FA6F7D" w:rsidRDefault="0090151F" w:rsidP="0090151F">
      <w:pPr>
        <w:pStyle w:val="Paragrafoelenco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2</w:t>
      </w:r>
      <w:r w:rsidRPr="007A4E9B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C.I.G</w:t>
      </w:r>
      <w:r w:rsidRPr="008E7A43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.: </w:t>
      </w:r>
      <w:r w:rsidR="008E7A43" w:rsidRPr="008E7A43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7215724BCE</w:t>
      </w:r>
      <w:r>
        <w:rPr>
          <w:rFonts w:ascii="Times New Roman" w:hAnsi="Times New Roman"/>
          <w:bCs/>
          <w:snapToGrid w:val="0"/>
          <w:sz w:val="20"/>
          <w:szCs w:val="20"/>
          <w:lang w:eastAsia="it-IT"/>
        </w:rPr>
        <w:t xml:space="preserve">: </w:t>
      </w:r>
      <w:r w:rsidR="004F1D57" w:rsidRPr="004F1D57">
        <w:rPr>
          <w:rFonts w:ascii="Times New Roman" w:hAnsi="Times New Roman"/>
          <w:bCs/>
          <w:snapToGrid w:val="0"/>
          <w:sz w:val="20"/>
          <w:szCs w:val="20"/>
          <w:lang w:eastAsia="it-IT"/>
        </w:rPr>
        <w:t>Manutenzione triennale generale non programmabile delle pavimentazioni autostradali. Interventi in Sinistra Tagliamento</w:t>
      </w:r>
      <w:r w:rsidRPr="00FA6F7D">
        <w:rPr>
          <w:rFonts w:ascii="Times New Roman" w:hAnsi="Times New Roman"/>
          <w:bCs/>
          <w:snapToGrid w:val="0"/>
          <w:sz w:val="20"/>
          <w:szCs w:val="20"/>
          <w:lang w:eastAsia="it-IT"/>
        </w:rPr>
        <w:t>.</w:t>
      </w:r>
    </w:p>
    <w:p w:rsidR="0090151F" w:rsidRPr="00DB0A7E" w:rsidRDefault="0090151F" w:rsidP="0090151F">
      <w:pPr>
        <w:pStyle w:val="Paragrafoelenco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3</w:t>
      </w:r>
      <w:r w:rsidRPr="007A4E9B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C.I.G.: </w:t>
      </w:r>
      <w:r w:rsidR="008E7A43" w:rsidRPr="008E7A43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72157880A2</w:t>
      </w:r>
      <w:bookmarkStart w:id="0" w:name="_GoBack"/>
      <w:bookmarkEnd w:id="0"/>
      <w:r w:rsidRPr="00FA6F7D">
        <w:rPr>
          <w:rFonts w:ascii="Times New Roman" w:hAnsi="Times New Roman"/>
          <w:bCs/>
          <w:snapToGrid w:val="0"/>
          <w:sz w:val="20"/>
          <w:szCs w:val="20"/>
          <w:lang w:eastAsia="it-IT"/>
        </w:rPr>
        <w:t xml:space="preserve">: </w:t>
      </w:r>
      <w:r w:rsidR="004F1D57" w:rsidRPr="004F1D57">
        <w:rPr>
          <w:rFonts w:ascii="Times New Roman" w:hAnsi="Times New Roman"/>
          <w:bCs/>
          <w:snapToGrid w:val="0"/>
          <w:sz w:val="20"/>
          <w:szCs w:val="20"/>
          <w:lang w:eastAsia="it-IT"/>
        </w:rPr>
        <w:t>Manutenzione triennale generale delle pavimentazioni autostradali in A28</w:t>
      </w:r>
      <w:r>
        <w:rPr>
          <w:rFonts w:ascii="Times New Roman" w:hAnsi="Times New Roman"/>
          <w:bCs/>
          <w:snapToGrid w:val="0"/>
          <w:sz w:val="20"/>
          <w:szCs w:val="20"/>
          <w:lang w:eastAsia="it-IT"/>
        </w:rPr>
        <w:t>.</w:t>
      </w:r>
    </w:p>
    <w:p w:rsidR="001959CF" w:rsidRDefault="0090151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 w:rsidRPr="0090151F">
        <w:rPr>
          <w:rFonts w:ascii="Times New Roman" w:hAnsi="Times New Roman"/>
          <w:sz w:val="20"/>
          <w:szCs w:val="20"/>
          <w:u w:val="single"/>
          <w:lang w:eastAsia="it-IT"/>
        </w:rPr>
        <w:t>in oggetto in qualità di</w:t>
      </w:r>
      <w:r w:rsidR="001959CF">
        <w:rPr>
          <w:rFonts w:ascii="Times New Roman" w:hAnsi="Times New Roman"/>
          <w:sz w:val="20"/>
          <w:szCs w:val="20"/>
          <w:lang w:eastAsia="it-IT"/>
        </w:rPr>
        <w:t>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4 dell’art. 48 del D.Lgs.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D.Lgs.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="000D5945"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D.Lgs.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D.Lgs.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lastRenderedPageBreak/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all’offerta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E7A43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D5945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807FA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A25EC"/>
    <w:rsid w:val="004B6BF6"/>
    <w:rsid w:val="004E5D6F"/>
    <w:rsid w:val="004F1D57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E7A43"/>
    <w:rsid w:val="008F4BBA"/>
    <w:rsid w:val="0090151F"/>
    <w:rsid w:val="009016CF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3B2C"/>
    <w:rsid w:val="00E56E1C"/>
    <w:rsid w:val="00E67247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0D32B2-CA70-4ACD-8ECE-AFEC489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14</cp:revision>
  <dcterms:created xsi:type="dcterms:W3CDTF">2017-04-10T13:50:00Z</dcterms:created>
  <dcterms:modified xsi:type="dcterms:W3CDTF">2017-10-16T14:23:00Z</dcterms:modified>
</cp:coreProperties>
</file>