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BE68F1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bookmarkStart w:id="0" w:name="_GoBack"/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</w:t>
      </w:r>
      <w:r w:rsidR="00BE68F1">
        <w:rPr>
          <w:rFonts w:ascii="Times New Roman" w:hAnsi="Times New Roman"/>
          <w:b/>
          <w:i/>
          <w:caps/>
          <w:snapToGrid w:val="0"/>
          <w:lang w:eastAsia="it-IT"/>
        </w:rPr>
        <w:t>LA</w:t>
      </w:r>
    </w:p>
    <w:p w:rsidR="004D3674" w:rsidRPr="007A4E9B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BE68F1" w:rsidRPr="00BE68F1">
        <w:rPr>
          <w:rFonts w:ascii="Times New Roman" w:hAnsi="Times New Roman"/>
          <w:b/>
          <w:i/>
          <w:caps/>
          <w:snapToGrid w:val="0"/>
          <w:lang w:eastAsia="it-IT"/>
        </w:rPr>
        <w:t>Fornitura di cloruro di sodio e di calcio, suddivisa in 2 Lotti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bookmarkEnd w:id="0"/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</w:t>
      </w:r>
      <w:r w:rsidR="00DB0A7E">
        <w:rPr>
          <w:rFonts w:ascii="Times New Roman" w:hAnsi="Times New Roman"/>
          <w:snapToGrid w:val="0"/>
          <w:sz w:val="20"/>
          <w:szCs w:val="20"/>
          <w:lang w:eastAsia="it-IT"/>
        </w:rPr>
        <w:t>per il:</w:t>
      </w:r>
    </w:p>
    <w:p w:rsidR="00D43E41" w:rsidRPr="00D43E41" w:rsidRDefault="00FA6F7D" w:rsidP="00D43E41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 w:rsid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1</w:t>
      </w:r>
      <w:r w:rsidR="007A4E9B"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C.I.G.: </w:t>
      </w:r>
      <w:r w:rsidR="00D43E41"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72007273E6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:</w:t>
      </w:r>
      <w:r w:rsidR="00D43E41"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</w:t>
      </w:r>
      <w:r w:rsidR="00D43E41" w:rsidRPr="00D43E41">
        <w:rPr>
          <w:rFonts w:ascii="Times New Roman" w:hAnsi="Times New Roman"/>
          <w:bCs/>
          <w:snapToGrid w:val="0"/>
          <w:sz w:val="20"/>
          <w:szCs w:val="20"/>
          <w:lang w:eastAsia="it-IT"/>
        </w:rPr>
        <w:t>Fornitura cloruro di calcio per trattamenti antigelivi sulla rete autostradale e relative pertinenze.</w:t>
      </w:r>
    </w:p>
    <w:p w:rsidR="00FA6F7D" w:rsidRPr="00D43E41" w:rsidRDefault="00D43E41" w:rsidP="00D43E41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</w:pP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Lotto </w:t>
      </w:r>
      <w:r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2 </w:t>
      </w:r>
      <w:r w:rsidRPr="00D43E41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C.I.G.: 7200747467: </w:t>
      </w:r>
      <w:r w:rsidRPr="00D43E41">
        <w:rPr>
          <w:rFonts w:ascii="Times New Roman" w:hAnsi="Times New Roman"/>
          <w:bCs/>
          <w:snapToGrid w:val="0"/>
          <w:sz w:val="20"/>
          <w:szCs w:val="20"/>
          <w:lang w:eastAsia="it-IT"/>
        </w:rPr>
        <w:t>Fornitura cloruro di sodio per trattamenti antigelivi sulla rete autostradale e relative pertinenze.</w:t>
      </w:r>
    </w:p>
    <w:p w:rsidR="004D3674" w:rsidRPr="00DA47BF" w:rsidRDefault="00FA6F7D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FA6F7D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 w:rsidR="004D3674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6A7680">
        <w:trPr>
          <w:cantSplit/>
          <w:trHeight w:val="338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intende eseguire la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intende eseguire la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>
        <w:rPr>
          <w:rFonts w:ascii="Times New Roman" w:hAnsi="Times New Roman"/>
          <w:sz w:val="20"/>
          <w:szCs w:val="20"/>
          <w:lang w:eastAsia="it-IT"/>
        </w:rPr>
        <w:t xml:space="preserve">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="00D43E41">
        <w:rPr>
          <w:rFonts w:ascii="Times New Roman" w:hAnsi="Times New Roman"/>
          <w:sz w:val="20"/>
          <w:szCs w:val="20"/>
          <w:lang w:eastAsia="it-IT"/>
        </w:rPr>
        <w:t>fornitura</w:t>
      </w:r>
      <w:r w:rsidR="00D43E41" w:rsidRPr="00E20D13">
        <w:rPr>
          <w:rFonts w:ascii="Times New Roman" w:hAnsi="Times New Roman"/>
          <w:sz w:val="20"/>
          <w:szCs w:val="20"/>
          <w:lang w:eastAsia="it-IT"/>
        </w:rPr>
        <w:t>: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</w:t>
      </w:r>
      <w:r w:rsidR="00D43E41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ed il raggruppamento temporaneo o consorzio ordinario non sia ancora costituito, ai sensi del comma 8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dell’art. 48 del D.Lgs. 50/2016 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22F" w:rsidRDefault="008A722F" w:rsidP="00F061F7">
      <w:pPr>
        <w:spacing w:after="0" w:line="240" w:lineRule="auto"/>
      </w:pPr>
      <w:r>
        <w:separator/>
      </w:r>
    </w:p>
  </w:endnote>
  <w:end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E68F1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22F" w:rsidRDefault="008A722F" w:rsidP="00F061F7">
      <w:pPr>
        <w:spacing w:after="0" w:line="240" w:lineRule="auto"/>
      </w:pPr>
      <w:r>
        <w:separator/>
      </w:r>
    </w:p>
  </w:footnote>
  <w:footnote w:type="continuationSeparator" w:id="0">
    <w:p w:rsidR="008A722F" w:rsidRDefault="008A722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F4CBF"/>
    <w:rsid w:val="002068E3"/>
    <w:rsid w:val="00225519"/>
    <w:rsid w:val="0022739A"/>
    <w:rsid w:val="00242C7E"/>
    <w:rsid w:val="00250F9A"/>
    <w:rsid w:val="002679B0"/>
    <w:rsid w:val="00271898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80031"/>
    <w:rsid w:val="004C5D2E"/>
    <w:rsid w:val="004D3674"/>
    <w:rsid w:val="004E639E"/>
    <w:rsid w:val="004E6F27"/>
    <w:rsid w:val="00524DDF"/>
    <w:rsid w:val="00547299"/>
    <w:rsid w:val="005C5C37"/>
    <w:rsid w:val="005F4A06"/>
    <w:rsid w:val="00644BC7"/>
    <w:rsid w:val="00663F93"/>
    <w:rsid w:val="00691BAB"/>
    <w:rsid w:val="006A7680"/>
    <w:rsid w:val="006F5461"/>
    <w:rsid w:val="00724F12"/>
    <w:rsid w:val="00741552"/>
    <w:rsid w:val="007567E2"/>
    <w:rsid w:val="0078390A"/>
    <w:rsid w:val="00784A2F"/>
    <w:rsid w:val="00794D94"/>
    <w:rsid w:val="007A4E9B"/>
    <w:rsid w:val="007A5CA5"/>
    <w:rsid w:val="007B32D5"/>
    <w:rsid w:val="007C4673"/>
    <w:rsid w:val="007C4814"/>
    <w:rsid w:val="0080768E"/>
    <w:rsid w:val="00815839"/>
    <w:rsid w:val="008366C5"/>
    <w:rsid w:val="00843F50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0838"/>
    <w:rsid w:val="00AB3830"/>
    <w:rsid w:val="00AB7703"/>
    <w:rsid w:val="00AF6AC1"/>
    <w:rsid w:val="00B02BD7"/>
    <w:rsid w:val="00B11FBD"/>
    <w:rsid w:val="00B13752"/>
    <w:rsid w:val="00B15F2C"/>
    <w:rsid w:val="00B209DC"/>
    <w:rsid w:val="00B9643A"/>
    <w:rsid w:val="00BE4707"/>
    <w:rsid w:val="00BE68F1"/>
    <w:rsid w:val="00BF0068"/>
    <w:rsid w:val="00C6769E"/>
    <w:rsid w:val="00CB1173"/>
    <w:rsid w:val="00CC0AC2"/>
    <w:rsid w:val="00CD453E"/>
    <w:rsid w:val="00CE059B"/>
    <w:rsid w:val="00CF2E59"/>
    <w:rsid w:val="00D0733B"/>
    <w:rsid w:val="00D406D0"/>
    <w:rsid w:val="00D43E41"/>
    <w:rsid w:val="00DA47BF"/>
    <w:rsid w:val="00DB0A7E"/>
    <w:rsid w:val="00DD31D5"/>
    <w:rsid w:val="00DD4CC0"/>
    <w:rsid w:val="00DE11DE"/>
    <w:rsid w:val="00E20D13"/>
    <w:rsid w:val="00E53F6F"/>
    <w:rsid w:val="00E848FB"/>
    <w:rsid w:val="00E94297"/>
    <w:rsid w:val="00F02CEB"/>
    <w:rsid w:val="00F061F7"/>
    <w:rsid w:val="00F20C49"/>
    <w:rsid w:val="00F21165"/>
    <w:rsid w:val="00F70E84"/>
    <w:rsid w:val="00F937FC"/>
    <w:rsid w:val="00FA6F7D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A7225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Stefano Svara</cp:lastModifiedBy>
  <cp:revision>15</cp:revision>
  <dcterms:created xsi:type="dcterms:W3CDTF">2017-04-10T13:31:00Z</dcterms:created>
  <dcterms:modified xsi:type="dcterms:W3CDTF">2017-09-13T13:39:00Z</dcterms:modified>
</cp:coreProperties>
</file>