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AE5237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:rsidR="00AE5237" w:rsidRDefault="00AE5237" w:rsidP="00AE5237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AE5237">
        <w:rPr>
          <w:rFonts w:ascii="Times New Roman" w:hAnsi="Times New Roman"/>
          <w:b/>
          <w:snapToGrid w:val="0"/>
          <w:lang w:eastAsia="it-IT"/>
        </w:rPr>
        <w:t>SCHEDA 1 “Domanda di Partecipazione e Soggetto Concorrente”</w:t>
      </w:r>
    </w:p>
    <w:p w:rsidR="00B4062C" w:rsidRPr="00426703" w:rsidRDefault="00B4062C" w:rsidP="00B4062C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B4062C" w:rsidRPr="00426703" w:rsidRDefault="00B4062C" w:rsidP="00B4062C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2E2CB0"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Accordo quadro, suddiviso in </w:t>
      </w:r>
      <w:r w:rsidR="00605269">
        <w:rPr>
          <w:rFonts w:ascii="Times New Roman" w:hAnsi="Times New Roman"/>
          <w:b/>
          <w:i/>
          <w:caps/>
          <w:snapToGrid w:val="0"/>
          <w:lang w:eastAsia="it-IT"/>
        </w:rPr>
        <w:t>DUE</w:t>
      </w:r>
      <w:r w:rsidR="00605269"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 </w:t>
      </w:r>
      <w:r w:rsidR="002E2CB0" w:rsidRPr="002E2CB0">
        <w:rPr>
          <w:rFonts w:ascii="Times New Roman" w:hAnsi="Times New Roman"/>
          <w:b/>
          <w:i/>
          <w:caps/>
          <w:snapToGrid w:val="0"/>
          <w:lang w:eastAsia="it-IT"/>
        </w:rPr>
        <w:t>Lotti, per l’esecuzione di spazzamento</w:t>
      </w:r>
      <w:r w:rsidR="006F3A4E">
        <w:rPr>
          <w:rFonts w:ascii="Times New Roman" w:hAnsi="Times New Roman"/>
          <w:b/>
          <w:i/>
          <w:caps/>
          <w:snapToGrid w:val="0"/>
          <w:lang w:eastAsia="it-IT"/>
        </w:rPr>
        <w:t xml:space="preserve">, </w:t>
      </w:r>
      <w:r w:rsidR="002E2CB0"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pulizia, </w:t>
      </w:r>
      <w:r w:rsidR="006F3A4E"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raccolta rifiuti </w:t>
      </w:r>
      <w:r w:rsidR="006F3A4E">
        <w:rPr>
          <w:rFonts w:ascii="Times New Roman" w:hAnsi="Times New Roman"/>
          <w:b/>
          <w:i/>
          <w:caps/>
          <w:snapToGrid w:val="0"/>
          <w:lang w:eastAsia="it-IT"/>
        </w:rPr>
        <w:t xml:space="preserve">e </w:t>
      </w:r>
      <w:r w:rsidR="002E2CB0" w:rsidRPr="002E2CB0">
        <w:rPr>
          <w:rFonts w:ascii="Times New Roman" w:hAnsi="Times New Roman"/>
          <w:b/>
          <w:i/>
          <w:caps/>
          <w:snapToGrid w:val="0"/>
          <w:lang w:eastAsia="it-IT"/>
        </w:rPr>
        <w:t>diserbo sulla rete autostradale e relative pertinenze</w:t>
      </w:r>
      <w:r w:rsidRPr="00410014">
        <w:rPr>
          <w:rFonts w:ascii="Times New Roman" w:hAnsi="Times New Roman"/>
          <w:b/>
          <w:i/>
          <w:caps/>
          <w:snapToGrid w:val="0"/>
          <w:lang w:eastAsia="it-IT"/>
        </w:rPr>
        <w:t>”.</w:t>
      </w:r>
    </w:p>
    <w:p w:rsidR="00AE5237" w:rsidRPr="001E4464" w:rsidRDefault="00AE5237" w:rsidP="00AE5237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_____________________________________ (nome) ________________________________ nato a _______________________________ il _____________________ in qualità di legale rappresentante/procuratore del concorrente _________________________________________________</w:t>
      </w:r>
    </w:p>
    <w:p w:rsidR="00AE5237" w:rsidRPr="001E4464" w:rsidRDefault="00AE5237" w:rsidP="00AE5237">
      <w:pPr>
        <w:spacing w:before="120" w:after="120"/>
        <w:jc w:val="center"/>
        <w:rPr>
          <w:rStyle w:val="Enfasicorsivo"/>
          <w:rFonts w:ascii="Times New Roman" w:hAnsi="Times New Roman"/>
          <w:sz w:val="20"/>
          <w:szCs w:val="20"/>
        </w:rPr>
      </w:pPr>
      <w:r w:rsidRPr="001E4464"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2E2CB0" w:rsidRDefault="00AE5237" w:rsidP="00DB32F5">
      <w:pPr>
        <w:widowControl w:val="0"/>
        <w:spacing w:after="12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1E4464"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per</w:t>
      </w:r>
      <w:r w:rsidR="002E2CB0">
        <w:rPr>
          <w:rFonts w:ascii="Times New Roman" w:hAnsi="Times New Roman"/>
          <w:snapToGrid w:val="0"/>
          <w:sz w:val="20"/>
          <w:szCs w:val="20"/>
          <w:lang w:eastAsia="it-IT"/>
        </w:rPr>
        <w:t>:</w:t>
      </w:r>
    </w:p>
    <w:p w:rsidR="00495DF1" w:rsidRPr="00495DF1" w:rsidRDefault="002E2CB0" w:rsidP="00495DF1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  <w:bookmarkStart w:id="0" w:name="_GoBack"/>
      <w:r w:rsidRPr="00495DF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1 C.I.G.: </w:t>
      </w:r>
      <w:r w:rsidR="00495DF1" w:rsidRPr="00495DF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7554473455 </w:t>
      </w:r>
      <w:r w:rsidRPr="00495DF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: </w:t>
      </w:r>
      <w:r w:rsidRPr="00495DF1">
        <w:rPr>
          <w:rFonts w:ascii="Times New Roman" w:hAnsi="Times New Roman"/>
          <w:bCs/>
          <w:snapToGrid w:val="0"/>
          <w:sz w:val="20"/>
          <w:szCs w:val="20"/>
          <w:lang w:eastAsia="it-IT"/>
        </w:rPr>
        <w:t>Interventi di spazzamento</w:t>
      </w:r>
      <w:r w:rsidR="00605269" w:rsidRPr="00495DF1">
        <w:rPr>
          <w:rFonts w:ascii="Times New Roman" w:hAnsi="Times New Roman"/>
          <w:bCs/>
          <w:snapToGrid w:val="0"/>
          <w:sz w:val="20"/>
          <w:szCs w:val="20"/>
          <w:lang w:eastAsia="it-IT"/>
        </w:rPr>
        <w:t>,</w:t>
      </w:r>
      <w:r w:rsidRPr="00495DF1"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 pulizia</w:t>
      </w:r>
      <w:r w:rsidR="00605269" w:rsidRPr="00495DF1"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 e raccolta rifiuti</w:t>
      </w:r>
    </w:p>
    <w:p w:rsidR="002E2CB0" w:rsidRPr="00495DF1" w:rsidRDefault="002E2CB0" w:rsidP="00495DF1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  <w:r w:rsidRPr="00495DF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2 C.I.G.: </w:t>
      </w:r>
      <w:r w:rsidR="00495DF1" w:rsidRPr="00495DF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7554481AED</w:t>
      </w:r>
      <w:r w:rsidRPr="00495DF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: </w:t>
      </w:r>
      <w:r w:rsidRPr="00495DF1">
        <w:rPr>
          <w:rFonts w:ascii="Times New Roman" w:hAnsi="Times New Roman"/>
          <w:bCs/>
          <w:snapToGrid w:val="0"/>
          <w:sz w:val="20"/>
          <w:szCs w:val="20"/>
          <w:lang w:eastAsia="it-IT"/>
        </w:rPr>
        <w:t>Interventi di diserbo.</w:t>
      </w:r>
    </w:p>
    <w:bookmarkEnd w:id="0"/>
    <w:p w:rsidR="00AE5237" w:rsidRPr="001E4464" w:rsidRDefault="00AE5237" w:rsidP="005F3BFD">
      <w:pPr>
        <w:widowControl w:val="0"/>
        <w:spacing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:rsidR="00AE5237" w:rsidRPr="001E4464" w:rsidRDefault="00AE5237" w:rsidP="00AE5237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471454">
        <w:trPr>
          <w:cantSplit/>
          <w:trHeight w:val="459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 xml:space="preserve">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a)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fra società cooperative di produzione e lavoro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b)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c)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d)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e)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aggregazioni tra le imprese aderenti al contratto in rete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f)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un soggetto che ha stipulato il contratto di GEIE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g)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6C07A9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sia un consorzio fra società cooperative o un consorzio stabile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ai sensi del secondo periodo del comma 7 dell’a</w:t>
      </w:r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rt. 48 del D.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 </w:t>
      </w:r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</w:t>
      </w:r>
      <w:r w:rsidR="006C07A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5C72E8">
      <w:pPr>
        <w:widowControl w:val="0"/>
        <w:tabs>
          <w:tab w:val="left" w:pos="709"/>
        </w:tabs>
        <w:spacing w:after="12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lastRenderedPageBreak/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>
        <w:rPr>
          <w:rFonts w:ascii="Times New Roman" w:hAnsi="Times New Roman"/>
          <w:sz w:val="20"/>
          <w:szCs w:val="20"/>
          <w:lang w:eastAsia="it-IT"/>
        </w:rPr>
        <w:t xml:space="preserve"> 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3 - Operatore 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EA3B9B" w:rsidRPr="00092D37" w:rsidRDefault="00F03B73" w:rsidP="003C059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che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ai sensi del comma 4 dell’art. 48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e 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>s.m.i. le parti della prestazione che saranno svolti da ciascun operatore economico</w:t>
      </w:r>
      <w:r w:rsidR="000A003B">
        <w:rPr>
          <w:rFonts w:ascii="Times New Roman" w:hAnsi="Times New Roman"/>
          <w:sz w:val="20"/>
          <w:szCs w:val="20"/>
          <w:lang w:eastAsia="it-IT"/>
        </w:rPr>
        <w:t xml:space="preserve"> indicato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sono le seguenti:</w:t>
      </w:r>
    </w:p>
    <w:p w:rsidR="00EA3B9B" w:rsidRPr="00092D37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64254B">
        <w:rPr>
          <w:rFonts w:ascii="Times New Roman" w:hAnsi="Times New Roman"/>
          <w:sz w:val="20"/>
          <w:szCs w:val="20"/>
          <w:lang w:eastAsia="it-IT"/>
        </w:rPr>
        <w:t xml:space="preserve"> 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EA3B9B" w:rsidRPr="00092D37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EA3B9B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3 - Operatore Economico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;</w:t>
      </w:r>
    </w:p>
    <w:p w:rsidR="0064254B" w:rsidRPr="008C0F42" w:rsidRDefault="0064254B" w:rsidP="003C059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che 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l</w:t>
      </w:r>
      <w:r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sched</w:t>
      </w:r>
      <w:r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1-bis </w:t>
      </w:r>
      <w:r>
        <w:rPr>
          <w:rFonts w:ascii="Times New Roman" w:hAnsi="Times New Roman"/>
          <w:sz w:val="20"/>
          <w:szCs w:val="20"/>
          <w:lang w:eastAsia="it-IT"/>
        </w:rPr>
        <w:t>compilate da ciascun operatore economico indicato;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Pr="006128E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sia un Raggruppamento temporaneo di concorrenti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che:</w:t>
      </w:r>
    </w:p>
    <w:p w:rsidR="004D3674" w:rsidRPr="008C0F42" w:rsidRDefault="004D3674" w:rsidP="00092D37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gli operatori economici che hanno costituito/costituiranno il raggruppamento/c</w:t>
      </w:r>
      <w:r w:rsidR="004E24DC">
        <w:rPr>
          <w:rFonts w:ascii="Times New Roman" w:hAnsi="Times New Roman"/>
          <w:sz w:val="20"/>
          <w:szCs w:val="20"/>
          <w:lang w:eastAsia="it-IT"/>
        </w:rPr>
        <w:t>onsorzio sono i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3 - Operatore Economico: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le quote di partecipazione di ciascun operatore economico al raggruppamento sono le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="00010B2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3 - Operatore 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</w:t>
      </w:r>
      <w:r w:rsidR="00010B2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ai sensi del comma 4 dell’art. 48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e </w:t>
      </w:r>
      <w:r w:rsidRPr="003C0590">
        <w:rPr>
          <w:rFonts w:ascii="Times New Roman" w:hAnsi="Times New Roman"/>
          <w:sz w:val="20"/>
          <w:szCs w:val="20"/>
          <w:lang w:eastAsia="it-IT"/>
        </w:rPr>
        <w:t>s.m.i., le parti della prestazione che saranno svolti da ciascun operatore economico sono le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>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>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3 - Operatore Economico</w:t>
      </w:r>
      <w:r w:rsidRPr="00FB54CA">
        <w:rPr>
          <w:rFonts w:ascii="Times New Roman" w:hAnsi="Times New Roman"/>
          <w:sz w:val="20"/>
          <w:szCs w:val="20"/>
          <w:lang w:eastAsia="it-IT"/>
        </w:rPr>
        <w:t>:</w:t>
      </w:r>
      <w:r w:rsidR="00FB54CA" w:rsidRP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;</w:t>
      </w:r>
    </w:p>
    <w:p w:rsidR="004D3674" w:rsidRDefault="004D3674" w:rsidP="00092D37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8152D9" w:rsidRPr="008C0F42">
        <w:rPr>
          <w:rFonts w:ascii="Times New Roman" w:hAnsi="Times New Roman"/>
          <w:sz w:val="20"/>
          <w:szCs w:val="20"/>
          <w:lang w:eastAsia="it-IT"/>
        </w:rPr>
        <w:t>nella “busta A – documentazione amministrativa”</w:t>
      </w:r>
      <w:r w:rsidR="008152D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l</w:t>
      </w:r>
      <w:r w:rsidR="0064254B"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sched</w:t>
      </w:r>
      <w:r w:rsidR="008152D9"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1-bis </w:t>
      </w:r>
      <w:r w:rsidR="0064254B">
        <w:rPr>
          <w:rFonts w:ascii="Times New Roman" w:hAnsi="Times New Roman"/>
          <w:sz w:val="20"/>
          <w:szCs w:val="20"/>
          <w:lang w:eastAsia="it-IT"/>
        </w:rPr>
        <w:t>compilate da ciascun operatore economico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64254B">
        <w:rPr>
          <w:rFonts w:ascii="Times New Roman" w:hAnsi="Times New Roman"/>
          <w:sz w:val="20"/>
          <w:szCs w:val="20"/>
          <w:lang w:eastAsia="it-IT"/>
        </w:rPr>
        <w:t>raggruppato;</w:t>
      </w:r>
    </w:p>
    <w:p w:rsidR="00F17E0B" w:rsidRDefault="00F17E0B" w:rsidP="00F17E0B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9E034F" w:rsidRPr="008C0F42" w:rsidRDefault="009E034F" w:rsidP="000E5194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Raggruppamento temporaneo di concorrenti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già costituito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0E5194">
        <w:rPr>
          <w:rFonts w:ascii="Times New Roman" w:hAnsi="Times New Roman"/>
          <w:sz w:val="20"/>
          <w:szCs w:val="20"/>
          <w:lang w:eastAsia="it-IT"/>
        </w:rPr>
        <w:t>, che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lastRenderedPageBreak/>
        <w:t>debbono contenente le rispettive quote di partecipazione ed il vincolo di solidarietà nei confronti della Stazione appaltante, nonché nei confronti dei subappaltatori e dei fornitori</w:t>
      </w:r>
      <w:r w:rsidR="000E5194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</w:t>
      </w:r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olo nel caso </w:t>
      </w:r>
      <w:r w:rsidR="006B5F6D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il</w:t>
      </w:r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concorrente sia un consorzio ordinario di concorrenti</w:t>
      </w:r>
      <w:r w:rsidR="00092D37"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o un GEIE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che:</w:t>
      </w:r>
    </w:p>
    <w:p w:rsidR="00092D37" w:rsidRPr="00092D37" w:rsidRDefault="00092D37" w:rsidP="00C015DA">
      <w:pPr>
        <w:pStyle w:val="Paragrafoelenco"/>
        <w:widowControl w:val="0"/>
        <w:numPr>
          <w:ilvl w:val="0"/>
          <w:numId w:val="2"/>
        </w:numPr>
        <w:tabs>
          <w:tab w:val="left" w:pos="709"/>
        </w:tabs>
        <w:spacing w:after="120" w:line="475" w:lineRule="exact"/>
        <w:ind w:left="709" w:hanging="425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che gli operatori economici che hanno costituito/costituiranno il consorzio</w:t>
      </w:r>
      <w:r>
        <w:rPr>
          <w:rFonts w:ascii="Times New Roman" w:hAnsi="Times New Roman"/>
          <w:sz w:val="20"/>
          <w:szCs w:val="20"/>
          <w:lang w:eastAsia="it-IT"/>
        </w:rPr>
        <w:t>/GEIE sono i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EA6AF3">
        <w:rPr>
          <w:rFonts w:ascii="Times New Roman" w:hAnsi="Times New Roman"/>
          <w:sz w:val="20"/>
          <w:szCs w:val="20"/>
          <w:lang w:eastAsia="it-IT"/>
        </w:rPr>
        <w:t xml:space="preserve"> 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3 - Operatore 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che, ai sensi del comma 4 dell’art. 48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s.m.i., le parti della prestazione che saranno svolti da ciascun operatore economico sono le seguenti: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EA6AF3">
        <w:rPr>
          <w:rFonts w:ascii="Times New Roman" w:hAnsi="Times New Roman"/>
          <w:sz w:val="20"/>
          <w:szCs w:val="20"/>
          <w:lang w:eastAsia="it-IT"/>
        </w:rPr>
        <w:t xml:space="preserve"> 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3 - Operatore Economico</w:t>
      </w:r>
      <w:r w:rsidRPr="006378C0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;</w:t>
      </w:r>
    </w:p>
    <w:p w:rsidR="00C015DA" w:rsidRDefault="00C015DA" w:rsidP="00EA6AF3">
      <w:pPr>
        <w:pStyle w:val="Paragrafoelenco"/>
        <w:widowControl w:val="0"/>
        <w:numPr>
          <w:ilvl w:val="0"/>
          <w:numId w:val="2"/>
        </w:numPr>
        <w:spacing w:after="120" w:line="475" w:lineRule="exact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="00FC3131">
        <w:rPr>
          <w:rFonts w:ascii="Times New Roman" w:hAnsi="Times New Roman"/>
          <w:sz w:val="20"/>
          <w:szCs w:val="20"/>
          <w:lang w:eastAsia="it-IT"/>
        </w:rPr>
        <w:t>/GEIE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092D37" w:rsidRPr="0080768E" w:rsidRDefault="00EA6AF3" w:rsidP="00EA6AF3">
      <w:pPr>
        <w:pStyle w:val="Paragrafoelenco"/>
        <w:widowControl w:val="0"/>
        <w:numPr>
          <w:ilvl w:val="0"/>
          <w:numId w:val="2"/>
        </w:numPr>
        <w:spacing w:before="240" w:after="0" w:line="360" w:lineRule="auto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</w:t>
      </w:r>
      <w:r w:rsidR="00FC313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consorzio ordinario/GEIE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già costituito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il mandato collettivo speciale con rappresentanza irrevocabile all’operatore economico </w:t>
      </w:r>
      <w:r w:rsidR="001A5CF3">
        <w:rPr>
          <w:rFonts w:ascii="Times New Roman" w:hAnsi="Times New Roman"/>
          <w:sz w:val="20"/>
          <w:szCs w:val="20"/>
          <w:lang w:eastAsia="it-IT"/>
        </w:rPr>
        <w:t>capogruppo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 e la procura speciale al legale rappresentante dell’operatore economico </w:t>
      </w:r>
      <w:r w:rsidR="001A5CF3">
        <w:rPr>
          <w:rFonts w:ascii="Times New Roman" w:hAnsi="Times New Roman"/>
          <w:sz w:val="20"/>
          <w:szCs w:val="20"/>
          <w:lang w:eastAsia="it-IT"/>
        </w:rPr>
        <w:t>capogruppo</w:t>
      </w:r>
      <w:r>
        <w:rPr>
          <w:rFonts w:ascii="Times New Roman" w:hAnsi="Times New Roman"/>
          <w:sz w:val="20"/>
          <w:szCs w:val="20"/>
          <w:lang w:eastAsia="it-IT"/>
        </w:rPr>
        <w:t>, che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 debbono contenente le rispettive quote di partecipazione ed il vincolo di solidarietà nei confronti della Stazione appaltante, nonché nei confronti dei subappaltatori e dei fornitori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80768E" w:rsidRDefault="00EA6AF3" w:rsidP="00EA6AF3">
      <w:pPr>
        <w:pStyle w:val="Paragrafoelenco"/>
        <w:widowControl w:val="0"/>
        <w:numPr>
          <w:ilvl w:val="0"/>
          <w:numId w:val="2"/>
        </w:numPr>
        <w:spacing w:before="120" w:after="0" w:line="360" w:lineRule="auto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EA6AF3">
        <w:rPr>
          <w:rFonts w:ascii="Times New Roman" w:hAnsi="Times New Roman"/>
          <w:sz w:val="20"/>
          <w:szCs w:val="20"/>
          <w:lang w:eastAsia="it-IT"/>
        </w:rPr>
        <w:t xml:space="preserve">allega nella “busta A – documentazione amministrativa” le schede 1-bis compilate da ciascun operatore economico </w:t>
      </w:r>
      <w:r>
        <w:rPr>
          <w:rFonts w:ascii="Times New Roman" w:hAnsi="Times New Roman"/>
          <w:sz w:val="20"/>
          <w:szCs w:val="20"/>
          <w:lang w:eastAsia="it-IT"/>
        </w:rPr>
        <w:t>consorziato/aderente al GEIE</w:t>
      </w:r>
      <w:r w:rsidRPr="00EA6AF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Solo nel caso il concorrente rientri nelle </w:t>
      </w:r>
      <w:proofErr w:type="spellStart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lett</w:t>
      </w:r>
      <w:proofErr w:type="spellEnd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. f) o g) comma 2 dell’art. 45 del D.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</w:t>
      </w:r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Lgs. 50/2016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e</w:t>
      </w:r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s.m.i.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inserire </w:t>
      </w:r>
      <w:r w:rsidR="009E20A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seguito </w:t>
      </w:r>
      <w:r w:rsidR="00D8601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ed </w:t>
      </w:r>
      <w:r w:rsidR="00D8601C" w:rsidRPr="00EA6AF3">
        <w:rPr>
          <w:rFonts w:ascii="Times New Roman" w:hAnsi="Times New Roman"/>
          <w:sz w:val="20"/>
          <w:szCs w:val="20"/>
          <w:lang w:eastAsia="it-IT"/>
        </w:rPr>
        <w:t>allega</w:t>
      </w:r>
      <w:r w:rsidR="00D8601C">
        <w:rPr>
          <w:rFonts w:ascii="Times New Roman" w:hAnsi="Times New Roman"/>
          <w:sz w:val="20"/>
          <w:szCs w:val="20"/>
          <w:lang w:eastAsia="it-IT"/>
        </w:rPr>
        <w:t>re</w:t>
      </w:r>
      <w:r w:rsidR="00D8601C" w:rsidRPr="00EA6AF3">
        <w:rPr>
          <w:rFonts w:ascii="Times New Roman" w:hAnsi="Times New Roman"/>
          <w:sz w:val="20"/>
          <w:szCs w:val="20"/>
          <w:lang w:eastAsia="it-IT"/>
        </w:rPr>
        <w:t xml:space="preserve"> nella “busta A –</w:t>
      </w:r>
      <w:r w:rsidR="00D8601C">
        <w:rPr>
          <w:rFonts w:ascii="Times New Roman" w:hAnsi="Times New Roman"/>
          <w:sz w:val="20"/>
          <w:szCs w:val="20"/>
          <w:lang w:eastAsia="it-IT"/>
        </w:rPr>
        <w:t xml:space="preserve"> documentazione amministrativa”</w:t>
      </w:r>
      <w:r w:rsidR="00D8601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tutte le </w:t>
      </w:r>
      <w:r w:rsidR="00426B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altre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dichiarazioni atte ad am</w:t>
      </w:r>
      <w:r w:rsidR="00426B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mettere alla procedura di gara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lo specifico soggetto ai sensi della normativa vigente: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d)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s.m.i. ed il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raggruppamento temporaneo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>della mandataria o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alle lettere d)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>,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e)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g)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s.m.i., ed il raggruppamento temporaneo o consorzio ordinario 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GEIE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non sia ancora costituito, ai sensi del comma 8 dell’art. 48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17690C">
      <w:pPr>
        <w:pStyle w:val="Paragrafoelenco"/>
        <w:ind w:left="284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30573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snapToGrid w:val="0"/>
          <w:lang w:eastAsia="it-IT"/>
        </w:rPr>
      </w:pP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Lgs. 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E43B4" w:rsidRPr="00DD6D68" w:rsidRDefault="004E43B4" w:rsidP="004E43B4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4D3674" w:rsidRDefault="004D3674" w:rsidP="004E43B4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19" w:rsidRDefault="00B72219" w:rsidP="00F061F7">
      <w:pPr>
        <w:spacing w:after="0" w:line="240" w:lineRule="auto"/>
      </w:pPr>
      <w:r>
        <w:separator/>
      </w:r>
    </w:p>
  </w:endnote>
  <w:endnote w:type="continuationSeparator" w:id="0">
    <w:p w:rsidR="00B72219" w:rsidRDefault="00B72219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 w:rsidP="00E755E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95DF1">
      <w:rPr>
        <w:noProof/>
      </w:rPr>
      <w:t>4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19" w:rsidRDefault="00B72219" w:rsidP="00F061F7">
      <w:pPr>
        <w:spacing w:after="0" w:line="240" w:lineRule="auto"/>
      </w:pPr>
      <w:r>
        <w:separator/>
      </w:r>
    </w:p>
  </w:footnote>
  <w:footnote w:type="continuationSeparator" w:id="0">
    <w:p w:rsidR="00B72219" w:rsidRDefault="00B72219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10B21"/>
    <w:rsid w:val="000643F7"/>
    <w:rsid w:val="00067264"/>
    <w:rsid w:val="000833C7"/>
    <w:rsid w:val="00092D37"/>
    <w:rsid w:val="00097DDD"/>
    <w:rsid w:val="000A003B"/>
    <w:rsid w:val="000A775C"/>
    <w:rsid w:val="000B0C77"/>
    <w:rsid w:val="000B30BA"/>
    <w:rsid w:val="000C5DCC"/>
    <w:rsid w:val="000E5194"/>
    <w:rsid w:val="000F4AEA"/>
    <w:rsid w:val="00104956"/>
    <w:rsid w:val="00126EB4"/>
    <w:rsid w:val="0013485F"/>
    <w:rsid w:val="0014330F"/>
    <w:rsid w:val="00154393"/>
    <w:rsid w:val="001654EF"/>
    <w:rsid w:val="0016653D"/>
    <w:rsid w:val="0017690C"/>
    <w:rsid w:val="001A5CF3"/>
    <w:rsid w:val="001D0617"/>
    <w:rsid w:val="001F4CBF"/>
    <w:rsid w:val="002068E3"/>
    <w:rsid w:val="00225519"/>
    <w:rsid w:val="0022739A"/>
    <w:rsid w:val="00242C7E"/>
    <w:rsid w:val="00250D70"/>
    <w:rsid w:val="00250F9A"/>
    <w:rsid w:val="002679B0"/>
    <w:rsid w:val="00271898"/>
    <w:rsid w:val="0028746C"/>
    <w:rsid w:val="002B1D87"/>
    <w:rsid w:val="002E2CB0"/>
    <w:rsid w:val="00305731"/>
    <w:rsid w:val="00332386"/>
    <w:rsid w:val="00337B3B"/>
    <w:rsid w:val="00350476"/>
    <w:rsid w:val="00352FD1"/>
    <w:rsid w:val="003555B4"/>
    <w:rsid w:val="00365227"/>
    <w:rsid w:val="0037130E"/>
    <w:rsid w:val="003A6D71"/>
    <w:rsid w:val="003C0590"/>
    <w:rsid w:val="003D0DA7"/>
    <w:rsid w:val="003E06B8"/>
    <w:rsid w:val="00410247"/>
    <w:rsid w:val="0042577F"/>
    <w:rsid w:val="00426703"/>
    <w:rsid w:val="00426B88"/>
    <w:rsid w:val="00430945"/>
    <w:rsid w:val="00452915"/>
    <w:rsid w:val="00471454"/>
    <w:rsid w:val="00480031"/>
    <w:rsid w:val="00495DF1"/>
    <w:rsid w:val="004C5D2E"/>
    <w:rsid w:val="004D3674"/>
    <w:rsid w:val="004E24DC"/>
    <w:rsid w:val="004E43B4"/>
    <w:rsid w:val="004E639E"/>
    <w:rsid w:val="00524DDF"/>
    <w:rsid w:val="00547299"/>
    <w:rsid w:val="00582262"/>
    <w:rsid w:val="005C30D9"/>
    <w:rsid w:val="005C5C37"/>
    <w:rsid w:val="005C72E8"/>
    <w:rsid w:val="005F3BFD"/>
    <w:rsid w:val="005F4A06"/>
    <w:rsid w:val="00605269"/>
    <w:rsid w:val="006128EE"/>
    <w:rsid w:val="006378C0"/>
    <w:rsid w:val="0064254B"/>
    <w:rsid w:val="00663F93"/>
    <w:rsid w:val="00691BAB"/>
    <w:rsid w:val="006A7680"/>
    <w:rsid w:val="006B5F6D"/>
    <w:rsid w:val="006C07A9"/>
    <w:rsid w:val="006F3A4E"/>
    <w:rsid w:val="006F5461"/>
    <w:rsid w:val="00724F12"/>
    <w:rsid w:val="00741552"/>
    <w:rsid w:val="007567E2"/>
    <w:rsid w:val="0078390A"/>
    <w:rsid w:val="00784A2F"/>
    <w:rsid w:val="00794D94"/>
    <w:rsid w:val="007A4E9B"/>
    <w:rsid w:val="007A5742"/>
    <w:rsid w:val="007A5CA5"/>
    <w:rsid w:val="007B32D5"/>
    <w:rsid w:val="007C4673"/>
    <w:rsid w:val="007C4814"/>
    <w:rsid w:val="00805AE6"/>
    <w:rsid w:val="0080768E"/>
    <w:rsid w:val="008152D9"/>
    <w:rsid w:val="00815839"/>
    <w:rsid w:val="008366C5"/>
    <w:rsid w:val="00843F50"/>
    <w:rsid w:val="008976CF"/>
    <w:rsid w:val="008A4355"/>
    <w:rsid w:val="008A722F"/>
    <w:rsid w:val="008C0F42"/>
    <w:rsid w:val="009241FD"/>
    <w:rsid w:val="00951055"/>
    <w:rsid w:val="00956D40"/>
    <w:rsid w:val="00970D3C"/>
    <w:rsid w:val="009907A2"/>
    <w:rsid w:val="009931D4"/>
    <w:rsid w:val="009E034F"/>
    <w:rsid w:val="009E1F68"/>
    <w:rsid w:val="009E20AE"/>
    <w:rsid w:val="009E7F65"/>
    <w:rsid w:val="00A11BC6"/>
    <w:rsid w:val="00A152AB"/>
    <w:rsid w:val="00A20D0C"/>
    <w:rsid w:val="00A279DB"/>
    <w:rsid w:val="00A56B36"/>
    <w:rsid w:val="00A704FE"/>
    <w:rsid w:val="00A73F54"/>
    <w:rsid w:val="00AB0838"/>
    <w:rsid w:val="00AB3830"/>
    <w:rsid w:val="00AB7703"/>
    <w:rsid w:val="00AD10B3"/>
    <w:rsid w:val="00AE5237"/>
    <w:rsid w:val="00AF6AC1"/>
    <w:rsid w:val="00B02BD7"/>
    <w:rsid w:val="00B03F63"/>
    <w:rsid w:val="00B11FBD"/>
    <w:rsid w:val="00B13752"/>
    <w:rsid w:val="00B15F2C"/>
    <w:rsid w:val="00B209DC"/>
    <w:rsid w:val="00B4062C"/>
    <w:rsid w:val="00B72219"/>
    <w:rsid w:val="00B9643A"/>
    <w:rsid w:val="00BE4707"/>
    <w:rsid w:val="00BF0068"/>
    <w:rsid w:val="00C015DA"/>
    <w:rsid w:val="00C46368"/>
    <w:rsid w:val="00C6769E"/>
    <w:rsid w:val="00CB1173"/>
    <w:rsid w:val="00CC15FB"/>
    <w:rsid w:val="00CD453E"/>
    <w:rsid w:val="00CE059B"/>
    <w:rsid w:val="00CF2E59"/>
    <w:rsid w:val="00D0733B"/>
    <w:rsid w:val="00D406D0"/>
    <w:rsid w:val="00D549FA"/>
    <w:rsid w:val="00D8601C"/>
    <w:rsid w:val="00DA47BF"/>
    <w:rsid w:val="00DB0A7E"/>
    <w:rsid w:val="00DB32F5"/>
    <w:rsid w:val="00DD31D5"/>
    <w:rsid w:val="00DD4CC0"/>
    <w:rsid w:val="00DE11DE"/>
    <w:rsid w:val="00DF2DAC"/>
    <w:rsid w:val="00E20D13"/>
    <w:rsid w:val="00E53F6F"/>
    <w:rsid w:val="00E755E3"/>
    <w:rsid w:val="00E848FB"/>
    <w:rsid w:val="00E94297"/>
    <w:rsid w:val="00EA3B9B"/>
    <w:rsid w:val="00EA6AF3"/>
    <w:rsid w:val="00EF2088"/>
    <w:rsid w:val="00EF2D58"/>
    <w:rsid w:val="00F02CEB"/>
    <w:rsid w:val="00F03B73"/>
    <w:rsid w:val="00F061F7"/>
    <w:rsid w:val="00F17E0B"/>
    <w:rsid w:val="00F20C49"/>
    <w:rsid w:val="00F21165"/>
    <w:rsid w:val="00F62953"/>
    <w:rsid w:val="00F70E84"/>
    <w:rsid w:val="00F937FC"/>
    <w:rsid w:val="00FA6F7D"/>
    <w:rsid w:val="00FB54CA"/>
    <w:rsid w:val="00FC3131"/>
    <w:rsid w:val="00FC3B2B"/>
    <w:rsid w:val="00FC409C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9FE6C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styleId="Enfasicorsivo">
    <w:name w:val="Emphasis"/>
    <w:basedOn w:val="Carpredefinitoparagrafo"/>
    <w:qFormat/>
    <w:locked/>
    <w:rsid w:val="00AE5237"/>
    <w:rPr>
      <w:i/>
      <w:iCs/>
    </w:rPr>
  </w:style>
  <w:style w:type="paragraph" w:customStyle="1" w:styleId="Stile2">
    <w:name w:val="Stile2"/>
    <w:basedOn w:val="Normale"/>
    <w:uiPriority w:val="99"/>
    <w:rsid w:val="004E43B4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6FD6-4EFB-423B-8A74-7BF6BE94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1291</Words>
  <Characters>10221</Characters>
  <Application>Microsoft Office Word</Application>
  <DocSecurity>0</DocSecurity>
  <Lines>85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7</cp:revision>
  <cp:lastPrinted>2018-06-29T10:00:00Z</cp:lastPrinted>
  <dcterms:created xsi:type="dcterms:W3CDTF">2018-05-21T16:33:00Z</dcterms:created>
  <dcterms:modified xsi:type="dcterms:W3CDTF">2018-06-29T10:02:00Z</dcterms:modified>
</cp:coreProperties>
</file>